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A9" w:rsidRDefault="003C3F3D" w:rsidP="003C3F3D">
      <w:pPr>
        <w:jc w:val="center"/>
      </w:pPr>
      <w:r w:rsidRPr="00890022">
        <w:rPr>
          <w:noProof/>
        </w:rPr>
        <w:drawing>
          <wp:inline distT="0" distB="0" distL="0" distR="0" wp14:anchorId="2FCDB83E" wp14:editId="0221E4FD">
            <wp:extent cx="3181350" cy="712074"/>
            <wp:effectExtent l="0" t="0" r="0" b="0"/>
            <wp:docPr id="2" name="Picture 2" descr="breatheND Voice of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theND Voice of the peo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7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3D" w:rsidRPr="00890022" w:rsidRDefault="003C3F3D" w:rsidP="003C3F3D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North Dakota Center for Tobacco Prevention </w:t>
      </w:r>
    </w:p>
    <w:p w:rsidR="003C3F3D" w:rsidRDefault="003C3F3D" w:rsidP="00E453DC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proofErr w:type="gramStart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>and</w:t>
      </w:r>
      <w:proofErr w:type="gramEnd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 Control Policy State Work Plan</w:t>
      </w:r>
      <w:r w:rsidR="004A018E">
        <w:rPr>
          <w:rFonts w:ascii="Arial" w:eastAsia="Calibri" w:hAnsi="Arial" w:cs="Arial"/>
          <w:b/>
          <w:color w:val="333399"/>
          <w:sz w:val="28"/>
          <w:szCs w:val="28"/>
        </w:rPr>
        <w:t xml:space="preserve"> 2016–2018</w:t>
      </w:r>
      <w:r>
        <w:rPr>
          <w:rFonts w:ascii="Arial" w:eastAsia="Calibri" w:hAnsi="Arial" w:cs="Arial"/>
          <w:b/>
          <w:color w:val="333399"/>
          <w:sz w:val="28"/>
          <w:szCs w:val="28"/>
        </w:rPr>
        <w:t xml:space="preserve"> </w:t>
      </w:r>
    </w:p>
    <w:p w:rsidR="00E453DC" w:rsidRPr="00E453DC" w:rsidRDefault="00E453DC" w:rsidP="00E453DC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C3F3D" w:rsidRPr="003C3F3D" w:rsidTr="003C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C45911"/>
          </w:tcPr>
          <w:p w:rsidR="003C3F3D" w:rsidRDefault="003C3F3D" w:rsidP="00E453DC">
            <w:pPr>
              <w:tabs>
                <w:tab w:val="left" w:pos="9328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3C3F3D">
              <w:rPr>
                <w:rFonts w:ascii="Times New Roman" w:eastAsia="Calibri" w:hAnsi="Times New Roman" w:cs="Times New Roman"/>
              </w:rPr>
              <w:t>Initiative:  Public Health Service Guidelines</w:t>
            </w:r>
            <w:r w:rsidR="00E453D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Organization </w:t>
            </w:r>
            <w:r w:rsidR="00E453D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453DC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="00E453DC">
              <w:rPr>
                <w:rFonts w:ascii="Times New Roman" w:eastAsia="Calibri" w:hAnsi="Times New Roman" w:cs="Times New Roman"/>
              </w:rPr>
            </w:r>
            <w:r w:rsidR="00E453DC">
              <w:rPr>
                <w:rFonts w:ascii="Times New Roman" w:eastAsia="Calibri" w:hAnsi="Times New Roman" w:cs="Times New Roman"/>
              </w:rPr>
              <w:fldChar w:fldCharType="separate"/>
            </w:r>
            <w:r w:rsidR="00E453DC">
              <w:rPr>
                <w:rFonts w:ascii="Times New Roman" w:eastAsia="Calibri" w:hAnsi="Times New Roman" w:cs="Times New Roman"/>
                <w:noProof/>
              </w:rPr>
              <w:t> </w:t>
            </w:r>
            <w:r w:rsidR="00E453DC">
              <w:rPr>
                <w:rFonts w:ascii="Times New Roman" w:eastAsia="Calibri" w:hAnsi="Times New Roman" w:cs="Times New Roman"/>
                <w:noProof/>
              </w:rPr>
              <w:t> </w:t>
            </w:r>
            <w:r w:rsidR="00E453DC">
              <w:rPr>
                <w:rFonts w:ascii="Times New Roman" w:eastAsia="Calibri" w:hAnsi="Times New Roman" w:cs="Times New Roman"/>
                <w:noProof/>
              </w:rPr>
              <w:t> </w:t>
            </w:r>
            <w:r w:rsidR="00E453DC">
              <w:rPr>
                <w:rFonts w:ascii="Times New Roman" w:eastAsia="Calibri" w:hAnsi="Times New Roman" w:cs="Times New Roman"/>
                <w:noProof/>
              </w:rPr>
              <w:t> </w:t>
            </w:r>
            <w:r w:rsidR="00E453DC">
              <w:rPr>
                <w:rFonts w:ascii="Times New Roman" w:eastAsia="Calibri" w:hAnsi="Times New Roman" w:cs="Times New Roman"/>
                <w:noProof/>
              </w:rPr>
              <w:t> </w:t>
            </w:r>
            <w:r w:rsidR="00E453DC">
              <w:rPr>
                <w:rFonts w:ascii="Times New Roman" w:eastAsia="Calibri" w:hAnsi="Times New Roman" w:cs="Times New Roman"/>
              </w:rPr>
              <w:fldChar w:fldCharType="end"/>
            </w:r>
            <w:bookmarkEnd w:id="0"/>
          </w:p>
          <w:p w:rsidR="00140E6E" w:rsidRPr="003C3F3D" w:rsidRDefault="00E453DC" w:rsidP="00E453DC">
            <w:pPr>
              <w:tabs>
                <w:tab w:val="left" w:pos="7551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 xml:space="preserve">    Date Completed </w:t>
            </w: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Calibri" w:hAnsi="Times New Roman" w:cs="Times New Roman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  <w:p w:rsidR="003C3F3D" w:rsidRPr="003C3F3D" w:rsidRDefault="003C3F3D" w:rsidP="00E453D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C3F3D">
              <w:rPr>
                <w:rFonts w:ascii="Times New Roman" w:eastAsia="Calibri" w:hAnsi="Times New Roman" w:cs="Times New Roman"/>
              </w:rPr>
              <w:t>Goal 3: Promote Quitting</w:t>
            </w:r>
          </w:p>
        </w:tc>
      </w:tr>
      <w:tr w:rsidR="00FD457B" w:rsidRPr="00FD457B" w:rsidTr="003C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3C3F3D" w:rsidRPr="00FD457B" w:rsidRDefault="004A018E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D457B">
              <w:rPr>
                <w:rFonts w:ascii="Times New Roman" w:eastAsia="Calibri" w:hAnsi="Times New Roman" w:cs="Times New Roman"/>
              </w:rPr>
              <w:t>Objective 2:  By June 30, 2018</w:t>
            </w:r>
            <w:r w:rsidR="003C3F3D" w:rsidRPr="00FD457B">
              <w:rPr>
                <w:rFonts w:ascii="Times New Roman" w:eastAsia="Calibri" w:hAnsi="Times New Roman" w:cs="Times New Roman"/>
              </w:rPr>
              <w:t xml:space="preserve">, increase the number of health care settings and enhance public health agencies use of the systems approach for tobacco dependence treatment as recommended in the US Public Health Service </w:t>
            </w:r>
            <w:r w:rsidR="003C3F3D" w:rsidRPr="00FD457B">
              <w:rPr>
                <w:rFonts w:ascii="Times New Roman" w:eastAsia="Calibri" w:hAnsi="Times New Roman" w:cs="Times New Roman"/>
                <w:u w:val="single"/>
              </w:rPr>
              <w:t xml:space="preserve">Treating Tobacco Use and Dependence, Clinical Practice Guideline -2008 Update.  </w:t>
            </w:r>
          </w:p>
          <w:p w:rsidR="00140E6E" w:rsidRPr="00FD457B" w:rsidRDefault="00140E6E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  <w:p w:rsidR="003C3F3D" w:rsidRPr="00FD457B" w:rsidRDefault="003C3F3D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Rationale:  The Community Preventive Services Task Force in </w:t>
            </w:r>
            <w:r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The Community Guide</w:t>
            </w: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 (August, 2012) recommends “quitline interventions, particularly proactive quitlines (i.e. those that offer follow-up counseling calls), based on strong evidence of effectiveness in increasing tobacco cessation among clients interested in quitting: and policies and programs changes be communicated to health care providers and tobacco users to increase awareness, interest in quitting and use of evidence-based treatments.” </w:t>
            </w:r>
          </w:p>
          <w:p w:rsidR="004A018E" w:rsidRPr="00FD457B" w:rsidRDefault="004A018E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3E5748" w:rsidRPr="00FD457B" w:rsidRDefault="004A018E" w:rsidP="004A018E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Baseline</w:t>
            </w:r>
            <w:r w:rsidR="00AE1400" w:rsidRPr="00FD457B">
              <w:rPr>
                <w:rFonts w:ascii="Times New Roman" w:eastAsia="Calibri" w:hAnsi="Times New Roman" w:cs="Times New Roman"/>
                <w:b w:val="0"/>
              </w:rPr>
              <w:t xml:space="preserve">: </w:t>
            </w:r>
            <w:r w:rsidR="003E5748" w:rsidRPr="00FD457B">
              <w:rPr>
                <w:rFonts w:ascii="Times New Roman" w:eastAsia="Calibri" w:hAnsi="Times New Roman" w:cs="Times New Roman"/>
                <w:b w:val="0"/>
              </w:rPr>
              <w:t xml:space="preserve">A. </w:t>
            </w:r>
            <w:r w:rsidR="00810238" w:rsidRPr="00FD457B">
              <w:rPr>
                <w:rFonts w:ascii="Times New Roman" w:eastAsia="Calibri" w:hAnsi="Times New Roman" w:cs="Times New Roman"/>
                <w:b w:val="0"/>
              </w:rPr>
              <w:t>Statewide l</w:t>
            </w:r>
            <w:r w:rsidR="008D7432" w:rsidRPr="00FD457B">
              <w:rPr>
                <w:rFonts w:ascii="Times New Roman" w:eastAsia="Calibri" w:hAnsi="Times New Roman" w:cs="Times New Roman"/>
                <w:b w:val="0"/>
              </w:rPr>
              <w:t xml:space="preserve">ocal </w:t>
            </w:r>
            <w:r w:rsidR="00D060F1" w:rsidRPr="00FD457B">
              <w:rPr>
                <w:rFonts w:ascii="Times New Roman" w:eastAsia="Calibri" w:hAnsi="Times New Roman" w:cs="Times New Roman"/>
                <w:b w:val="0"/>
              </w:rPr>
              <w:t xml:space="preserve">public health units meeting </w:t>
            </w:r>
            <w:r w:rsidR="00B71141" w:rsidRPr="00FD457B">
              <w:rPr>
                <w:rFonts w:ascii="Times New Roman" w:eastAsia="Calibri" w:hAnsi="Times New Roman" w:cs="Times New Roman"/>
                <w:b w:val="0"/>
              </w:rPr>
              <w:t>the established 90%</w:t>
            </w:r>
            <w:r w:rsidR="005B4A44" w:rsidRPr="00FD457B">
              <w:rPr>
                <w:rFonts w:ascii="Times New Roman" w:eastAsia="Calibri" w:hAnsi="Times New Roman" w:cs="Times New Roman"/>
                <w:b w:val="0"/>
              </w:rPr>
              <w:t xml:space="preserve"> standard</w:t>
            </w:r>
            <w:r w:rsidR="008D7432" w:rsidRPr="00FD457B">
              <w:rPr>
                <w:rFonts w:ascii="Times New Roman" w:eastAsia="Calibri" w:hAnsi="Times New Roman" w:cs="Times New Roman"/>
                <w:b w:val="0"/>
              </w:rPr>
              <w:t xml:space="preserve"> in F</w:t>
            </w:r>
            <w:r w:rsidR="005B4A44" w:rsidRPr="00FD457B">
              <w:rPr>
                <w:rFonts w:ascii="Times New Roman" w:eastAsia="Calibri" w:hAnsi="Times New Roman" w:cs="Times New Roman"/>
                <w:b w:val="0"/>
              </w:rPr>
              <w:t>Y2015 (2014 calendar year chart audits</w:t>
            </w:r>
            <w:r w:rsidR="008D7432" w:rsidRPr="00FD457B">
              <w:rPr>
                <w:rFonts w:ascii="Times New Roman" w:eastAsia="Calibri" w:hAnsi="Times New Roman" w:cs="Times New Roman"/>
                <w:b w:val="0"/>
              </w:rPr>
              <w:t xml:space="preserve">) for </w:t>
            </w:r>
            <w:r w:rsidR="008D7432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Ask</w:t>
            </w:r>
            <w:r w:rsidR="00B71141" w:rsidRPr="00FD457B">
              <w:rPr>
                <w:rFonts w:ascii="Times New Roman" w:eastAsia="Calibri" w:hAnsi="Times New Roman" w:cs="Times New Roman"/>
                <w:b w:val="0"/>
              </w:rPr>
              <w:t xml:space="preserve"> (Measure1)</w:t>
            </w:r>
            <w:r w:rsidR="00783B9F" w:rsidRPr="00FD457B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810238" w:rsidRPr="00FD457B">
              <w:rPr>
                <w:rFonts w:ascii="Times New Roman" w:eastAsia="Calibri" w:hAnsi="Times New Roman" w:cs="Times New Roman"/>
                <w:b w:val="0"/>
              </w:rPr>
              <w:t xml:space="preserve">was 94%; Advise (Measure 2) was 85%; Refer (Measure 3) was </w:t>
            </w:r>
            <w:r w:rsidR="008D7432" w:rsidRPr="00FD457B">
              <w:rPr>
                <w:rFonts w:ascii="Times New Roman" w:eastAsia="Calibri" w:hAnsi="Times New Roman" w:cs="Times New Roman"/>
                <w:b w:val="0"/>
              </w:rPr>
              <w:t xml:space="preserve">89% and Exposure </w:t>
            </w:r>
            <w:r w:rsidR="00810238" w:rsidRPr="00FD457B">
              <w:rPr>
                <w:rFonts w:ascii="Times New Roman" w:eastAsia="Calibri" w:hAnsi="Times New Roman" w:cs="Times New Roman"/>
                <w:b w:val="0"/>
              </w:rPr>
              <w:t xml:space="preserve">to Secondhand Smoke (Measure 4) was </w:t>
            </w:r>
            <w:r w:rsidR="008D7432" w:rsidRPr="00FD457B">
              <w:rPr>
                <w:rFonts w:ascii="Times New Roman" w:eastAsia="Calibri" w:hAnsi="Times New Roman" w:cs="Times New Roman"/>
                <w:b w:val="0"/>
              </w:rPr>
              <w:t>93%.</w:t>
            </w:r>
            <w:r w:rsidR="003E5748" w:rsidRPr="00FD457B">
              <w:rPr>
                <w:rFonts w:ascii="Times New Roman" w:eastAsia="Calibri" w:hAnsi="Times New Roman" w:cs="Times New Roman"/>
                <w:b w:val="0"/>
              </w:rPr>
              <w:t xml:space="preserve">  B. 2012 ND Adult Tobacco Survey of ND smokers reporting health care providers </w:t>
            </w:r>
            <w:r w:rsidR="003E5748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Asking</w:t>
            </w:r>
            <w:r w:rsidR="003E5748" w:rsidRPr="00FD457B">
              <w:rPr>
                <w:rFonts w:ascii="Times New Roman" w:eastAsia="Calibri" w:hAnsi="Times New Roman" w:cs="Times New Roman"/>
                <w:b w:val="0"/>
              </w:rPr>
              <w:t xml:space="preserve"> them about </w:t>
            </w:r>
            <w:r w:rsidR="00A64656" w:rsidRPr="00FD457B">
              <w:rPr>
                <w:rFonts w:ascii="Times New Roman" w:eastAsia="Calibri" w:hAnsi="Times New Roman" w:cs="Times New Roman"/>
                <w:b w:val="0"/>
              </w:rPr>
              <w:t xml:space="preserve">cigarette smoking </w:t>
            </w:r>
            <w:r w:rsidR="003E5748" w:rsidRPr="00FD457B">
              <w:rPr>
                <w:rFonts w:ascii="Times New Roman" w:eastAsia="Calibri" w:hAnsi="Times New Roman" w:cs="Times New Roman"/>
                <w:b w:val="0"/>
              </w:rPr>
              <w:t xml:space="preserve">was 72.2%, </w:t>
            </w:r>
            <w:r w:rsidR="003E5748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Advising</w:t>
            </w:r>
            <w:r w:rsidR="003E5748" w:rsidRPr="00FD457B">
              <w:rPr>
                <w:rFonts w:ascii="Times New Roman" w:eastAsia="Calibri" w:hAnsi="Times New Roman" w:cs="Times New Roman"/>
                <w:b w:val="0"/>
              </w:rPr>
              <w:t xml:space="preserve"> them to quit was 48% and </w:t>
            </w:r>
            <w:r w:rsidR="003E5748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Referring</w:t>
            </w:r>
            <w:r w:rsidR="003E5748" w:rsidRPr="00FD457B">
              <w:rPr>
                <w:rFonts w:ascii="Times New Roman" w:eastAsia="Calibri" w:hAnsi="Times New Roman" w:cs="Times New Roman"/>
                <w:b w:val="0"/>
              </w:rPr>
              <w:t xml:space="preserve"> them to cessation resources was 24.1%.</w:t>
            </w:r>
          </w:p>
          <w:p w:rsidR="003E5748" w:rsidRPr="00FD457B" w:rsidRDefault="003C3F3D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Evaluation measure: </w:t>
            </w:r>
            <w:r w:rsidR="003E5748" w:rsidRPr="00FD457B">
              <w:rPr>
                <w:rFonts w:ascii="Times New Roman" w:eastAsia="Calibri" w:hAnsi="Times New Roman" w:cs="Times New Roman"/>
                <w:b w:val="0"/>
              </w:rPr>
              <w:t xml:space="preserve">A. Statewide local public health units will meet the established 90% standard in Advise (Measure 2) and Refer (Measure 3).  </w:t>
            </w:r>
          </w:p>
          <w:p w:rsidR="003C3F3D" w:rsidRPr="00FD457B" w:rsidRDefault="003C3F3D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3E5748" w:rsidRPr="00FD457B">
              <w:rPr>
                <w:rFonts w:ascii="Times New Roman" w:eastAsia="Calibri" w:hAnsi="Times New Roman" w:cs="Times New Roman"/>
                <w:b w:val="0"/>
              </w:rPr>
              <w:t xml:space="preserve">B. </w:t>
            </w:r>
            <w:r w:rsidRPr="00FD457B">
              <w:rPr>
                <w:rFonts w:ascii="Times New Roman" w:eastAsia="Calibri" w:hAnsi="Times New Roman" w:cs="Times New Roman"/>
                <w:b w:val="0"/>
              </w:rPr>
              <w:t>Increased ND smokers reporting health care providers</w:t>
            </w:r>
            <w:r w:rsidR="003E5748" w:rsidRPr="00FD457B">
              <w:rPr>
                <w:rFonts w:ascii="Times New Roman" w:eastAsia="Calibri" w:hAnsi="Times New Roman" w:cs="Times New Roman"/>
                <w:b w:val="0"/>
              </w:rPr>
              <w:t xml:space="preserve">’ intervention of </w:t>
            </w:r>
            <w:r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 xml:space="preserve">Ask </w:t>
            </w: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to 80%, </w:t>
            </w:r>
            <w:r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Advise</w:t>
            </w: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 to 60%, and </w:t>
            </w:r>
            <w:r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Refer</w:t>
            </w: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 to 35% based on the ND Adult Tobacco Survey.</w:t>
            </w:r>
          </w:p>
          <w:p w:rsidR="00140E6E" w:rsidRPr="00FD457B" w:rsidRDefault="00140E6E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3C3F3D" w:rsidRPr="00FD457B" w:rsidRDefault="003C3F3D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Lead:  ND Department of Health and the ND Center </w:t>
            </w:r>
            <w:r w:rsidR="002F0666">
              <w:rPr>
                <w:rFonts w:ascii="Times New Roman" w:eastAsia="Calibri" w:hAnsi="Times New Roman" w:cs="Times New Roman"/>
                <w:b w:val="0"/>
              </w:rPr>
              <w:t xml:space="preserve">for Tobacco Prevention and Control Policy </w:t>
            </w:r>
            <w:r w:rsidRPr="00FD457B">
              <w:rPr>
                <w:rFonts w:ascii="Times New Roman" w:eastAsia="Calibri" w:hAnsi="Times New Roman" w:cs="Times New Roman"/>
                <w:b w:val="0"/>
              </w:rPr>
              <w:t>Statewide Programs Manager</w:t>
            </w:r>
          </w:p>
          <w:p w:rsidR="00140E6E" w:rsidRPr="00FD457B" w:rsidRDefault="00140E6E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140E6E" w:rsidRPr="00FD457B" w:rsidRDefault="00E453DC" w:rsidP="00140E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Strategies:</w:t>
            </w:r>
          </w:p>
          <w:p w:rsidR="003C3F3D" w:rsidRPr="00FD457B" w:rsidRDefault="002F0666" w:rsidP="00E453DC">
            <w:pPr>
              <w:spacing w:line="276" w:lineRule="auto"/>
              <w:ind w:left="967" w:hanging="54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44769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DC" w:rsidRPr="00FD457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453DC" w:rsidRPr="00FD457B">
              <w:rPr>
                <w:rFonts w:ascii="Times New Roman" w:eastAsia="Calibri" w:hAnsi="Times New Roman" w:cs="Times New Roman"/>
                <w:b w:val="0"/>
              </w:rPr>
              <w:t xml:space="preserve"> 1.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>Provide education and technical assistance to</w:t>
            </w:r>
            <w:r w:rsidR="00055AFD" w:rsidRPr="00FD457B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health care providers </w:t>
            </w:r>
            <w:r w:rsidR="00055AFD" w:rsidRPr="00FD457B">
              <w:rPr>
                <w:rFonts w:ascii="Times New Roman" w:eastAsia="Calibri" w:hAnsi="Times New Roman" w:cs="Times New Roman"/>
                <w:b w:val="0"/>
              </w:rPr>
              <w:t>on implementation to deliver 5A’s of the Public Health Service Guidelines</w:t>
            </w:r>
            <w:r w:rsidR="00855110" w:rsidRPr="00FD457B">
              <w:rPr>
                <w:rFonts w:ascii="Times New Roman" w:eastAsia="Calibri" w:hAnsi="Times New Roman" w:cs="Times New Roman"/>
                <w:b w:val="0"/>
              </w:rPr>
              <w:t xml:space="preserve"> for Treating Tobacco Use and Dependence</w:t>
            </w:r>
            <w:r w:rsidR="00055AFD" w:rsidRPr="00FD457B">
              <w:rPr>
                <w:rFonts w:ascii="Times New Roman" w:eastAsia="Calibri" w:hAnsi="Times New Roman" w:cs="Times New Roman"/>
                <w:b w:val="0"/>
              </w:rPr>
              <w:t xml:space="preserve"> i.e. Clarify and strengthen skills to motivate clients, describe medication options, offer immediate on site counseling and offer/direct medication options </w:t>
            </w:r>
            <w:r w:rsidR="008C5E33" w:rsidRPr="00FD457B">
              <w:rPr>
                <w:rFonts w:ascii="Times New Roman" w:eastAsia="Calibri" w:hAnsi="Times New Roman" w:cs="Times New Roman"/>
                <w:b w:val="0"/>
              </w:rPr>
              <w:t>and</w:t>
            </w:r>
            <w:r w:rsidR="00E15C82" w:rsidRPr="00FD457B">
              <w:rPr>
                <w:rFonts w:ascii="Times New Roman" w:eastAsia="Calibri" w:hAnsi="Times New Roman" w:cs="Times New Roman"/>
                <w:b w:val="0"/>
              </w:rPr>
              <w:t xml:space="preserve"> document</w:t>
            </w:r>
            <w:r w:rsidR="008C5E33" w:rsidRPr="00FD457B">
              <w:rPr>
                <w:rFonts w:ascii="Times New Roman" w:eastAsia="Calibri" w:hAnsi="Times New Roman" w:cs="Times New Roman"/>
                <w:b w:val="0"/>
              </w:rPr>
              <w:t xml:space="preserve"> exposure to second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hand smoke, i.e.  </w:t>
            </w:r>
            <w:r w:rsidR="003C3F3D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Ask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 about tobacco use, </w:t>
            </w:r>
            <w:r w:rsidR="003C3F3D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Advise</w:t>
            </w:r>
            <w:r w:rsidR="00055AFD" w:rsidRPr="00FD457B">
              <w:rPr>
                <w:rFonts w:ascii="Times New Roman" w:eastAsia="Calibri" w:hAnsi="Times New Roman" w:cs="Times New Roman"/>
                <w:b w:val="0"/>
              </w:rPr>
              <w:t xml:space="preserve"> to quit, </w:t>
            </w:r>
            <w:r w:rsidR="00055AFD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Assess</w:t>
            </w:r>
            <w:r w:rsidR="00055AFD" w:rsidRPr="00FD457B">
              <w:rPr>
                <w:rFonts w:ascii="Times New Roman" w:eastAsia="Calibri" w:hAnsi="Times New Roman" w:cs="Times New Roman"/>
                <w:b w:val="0"/>
              </w:rPr>
              <w:t xml:space="preserve"> willingness to make a quit attempt, </w:t>
            </w:r>
            <w:r w:rsidR="00055AFD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Assist</w:t>
            </w:r>
            <w:r w:rsidR="00055AFD" w:rsidRPr="00FD457B">
              <w:rPr>
                <w:rFonts w:ascii="Times New Roman" w:eastAsia="Calibri" w:hAnsi="Times New Roman" w:cs="Times New Roman"/>
                <w:b w:val="0"/>
              </w:rPr>
              <w:t xml:space="preserve"> in aiding the patient in quitting by providing counseling (r</w:t>
            </w:r>
            <w:r w:rsidR="00055AFD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efer</w:t>
            </w:r>
            <w:r w:rsidR="00055AFD" w:rsidRPr="00FD457B">
              <w:rPr>
                <w:rFonts w:ascii="Times New Roman" w:eastAsia="Calibri" w:hAnsi="Times New Roman" w:cs="Times New Roman"/>
                <w:b w:val="0"/>
              </w:rPr>
              <w:t xml:space="preserve"> to cessation services for additional support) and medications and </w:t>
            </w:r>
            <w:r w:rsidR="00055AFD" w:rsidRPr="00FD457B">
              <w:rPr>
                <w:rFonts w:ascii="Times New Roman" w:eastAsia="Calibri" w:hAnsi="Times New Roman" w:cs="Times New Roman"/>
                <w:b w:val="0"/>
                <w:u w:val="single"/>
              </w:rPr>
              <w:t>Arrange</w:t>
            </w:r>
            <w:r w:rsidR="00055AFD" w:rsidRPr="00FD457B">
              <w:rPr>
                <w:rFonts w:ascii="Times New Roman" w:eastAsia="Calibri" w:hAnsi="Times New Roman" w:cs="Times New Roman"/>
                <w:b w:val="0"/>
              </w:rPr>
              <w:t xml:space="preserve">-Ensure follow-up contact.  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Identify, health care systems to approach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Education and training offered – date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Systematic implementation in delivery of health care</w:t>
            </w:r>
          </w:p>
          <w:p w:rsidR="00E61394" w:rsidRPr="00FD457B" w:rsidRDefault="00E61394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Develop protocols to provide cessation intervention to parents of hospitalized children focusing work with health care systems</w:t>
            </w:r>
          </w:p>
          <w:p w:rsidR="003C3F3D" w:rsidRPr="00FD457B" w:rsidRDefault="002F0666" w:rsidP="00E453DC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7499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DC" w:rsidRPr="00FD457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453DC" w:rsidRPr="00FD457B">
              <w:rPr>
                <w:rFonts w:ascii="Times New Roman" w:eastAsia="Calibri" w:hAnsi="Times New Roman" w:cs="Times New Roman"/>
                <w:b w:val="0"/>
              </w:rPr>
              <w:t xml:space="preserve"> 2.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>Impleme</w:t>
            </w:r>
            <w:r w:rsidR="00920E7B" w:rsidRPr="00FD457B">
              <w:rPr>
                <w:rFonts w:ascii="Times New Roman" w:eastAsia="Calibri" w:hAnsi="Times New Roman" w:cs="Times New Roman"/>
                <w:b w:val="0"/>
              </w:rPr>
              <w:t>nt and expand the Million Heart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 S grant for eligible health care systems.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Attendance in scheduled conference calls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Outcomes reported annually by site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Number of new grantees per grant cycle</w:t>
            </w:r>
          </w:p>
          <w:p w:rsidR="00215DDE" w:rsidRPr="00FD457B" w:rsidRDefault="00215DDE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Implementation of direct e-referral</w:t>
            </w:r>
          </w:p>
          <w:p w:rsidR="00215DDE" w:rsidRPr="00FD457B" w:rsidRDefault="00215DDE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Strategic focus to ‘expand’ components (e-referral, cessation centers, NRT protocols, data collection and 7 month follow-up)</w:t>
            </w:r>
          </w:p>
          <w:p w:rsidR="003C3F3D" w:rsidRPr="00FD457B" w:rsidRDefault="002F0666" w:rsidP="00E453DC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72328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DC" w:rsidRPr="00FD457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453DC" w:rsidRPr="00FD457B">
              <w:rPr>
                <w:rFonts w:ascii="Times New Roman" w:eastAsia="Calibri" w:hAnsi="Times New Roman" w:cs="Times New Roman"/>
                <w:b w:val="0"/>
              </w:rPr>
              <w:t xml:space="preserve"> 3.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>Advocate for health care providers to implement provider reminder systems; especially focusing on populations</w:t>
            </w:r>
            <w:r w:rsidR="006E4961" w:rsidRPr="00FD457B">
              <w:rPr>
                <w:rFonts w:ascii="Times New Roman" w:eastAsia="Calibri" w:hAnsi="Times New Roman" w:cs="Times New Roman"/>
                <w:b w:val="0"/>
              </w:rPr>
              <w:t xml:space="preserve"> affected by tobacco-</w:t>
            </w:r>
            <w:r w:rsidR="00E61394" w:rsidRPr="00FD457B">
              <w:rPr>
                <w:rFonts w:ascii="Times New Roman" w:eastAsia="Calibri" w:hAnsi="Times New Roman" w:cs="Times New Roman"/>
                <w:b w:val="0"/>
              </w:rPr>
              <w:t>related disparities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.   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Feedback received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lastRenderedPageBreak/>
              <w:t>Implementation of reminder systems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Identified priority populations in targeted areas</w:t>
            </w:r>
          </w:p>
          <w:p w:rsidR="003C3F3D" w:rsidRPr="00FD457B" w:rsidRDefault="002F0666" w:rsidP="00E453DC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8450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DC" w:rsidRPr="00FD457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453DC" w:rsidRPr="00FD457B">
              <w:rPr>
                <w:rFonts w:ascii="Times New Roman" w:eastAsia="Calibri" w:hAnsi="Times New Roman" w:cs="Times New Roman"/>
                <w:b w:val="0"/>
              </w:rPr>
              <w:t xml:space="preserve"> 4.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Conduct annual </w:t>
            </w:r>
            <w:r w:rsidR="00542FA5" w:rsidRPr="00FD457B">
              <w:rPr>
                <w:rFonts w:ascii="Times New Roman" w:eastAsia="Calibri" w:hAnsi="Times New Roman" w:cs="Times New Roman"/>
                <w:b w:val="0"/>
              </w:rPr>
              <w:t>program or population based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 audit of AAR/SHS exposure in local public health units. 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Completed by requested date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Results shared with local public health units and partners</w:t>
            </w:r>
          </w:p>
          <w:p w:rsidR="003C3F3D" w:rsidRPr="00FD457B" w:rsidRDefault="002F0666" w:rsidP="00E453DC">
            <w:pPr>
              <w:spacing w:line="276" w:lineRule="auto"/>
              <w:ind w:left="967" w:hanging="54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2242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DC" w:rsidRPr="00FD457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453DC" w:rsidRPr="00FD457B">
              <w:rPr>
                <w:rFonts w:ascii="Times New Roman" w:eastAsia="Calibri" w:hAnsi="Times New Roman" w:cs="Times New Roman"/>
                <w:b w:val="0"/>
              </w:rPr>
              <w:t xml:space="preserve"> 5.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Advocate for annual </w:t>
            </w:r>
            <w:r w:rsidR="00542FA5" w:rsidRPr="00FD457B">
              <w:rPr>
                <w:rFonts w:ascii="Times New Roman" w:eastAsia="Calibri" w:hAnsi="Times New Roman" w:cs="Times New Roman"/>
                <w:b w:val="0"/>
              </w:rPr>
              <w:t>reports/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audits of </w:t>
            </w:r>
            <w:r w:rsidR="00215DDE" w:rsidRPr="00FD457B">
              <w:rPr>
                <w:rFonts w:ascii="Times New Roman" w:eastAsia="Calibri" w:hAnsi="Times New Roman" w:cs="Times New Roman"/>
                <w:b w:val="0"/>
              </w:rPr>
              <w:t>5As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 in health care systems that have implemented </w:t>
            </w:r>
            <w:r w:rsidR="00055AFD" w:rsidRPr="00FD457B">
              <w:rPr>
                <w:rFonts w:ascii="Times New Roman" w:eastAsia="Calibri" w:hAnsi="Times New Roman" w:cs="Times New Roman"/>
                <w:b w:val="0"/>
              </w:rPr>
              <w:t xml:space="preserve">Public Health </w:t>
            </w:r>
            <w:r w:rsidR="00855110" w:rsidRPr="00FD457B">
              <w:rPr>
                <w:rFonts w:ascii="Times New Roman" w:eastAsia="Calibri" w:hAnsi="Times New Roman" w:cs="Times New Roman"/>
                <w:b w:val="0"/>
              </w:rPr>
              <w:t xml:space="preserve">Service Guidelines for Treating Tobacco Use and Dependence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for internal quality improvement.  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Number of </w:t>
            </w:r>
            <w:r w:rsidR="00E61394" w:rsidRPr="00FD457B">
              <w:rPr>
                <w:rFonts w:ascii="Times New Roman" w:eastAsia="Calibri" w:hAnsi="Times New Roman" w:cs="Times New Roman"/>
                <w:b w:val="0"/>
              </w:rPr>
              <w:t>reports/audits completed</w:t>
            </w:r>
          </w:p>
          <w:p w:rsidR="003C3F3D" w:rsidRPr="00FD457B" w:rsidRDefault="00E61394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Analysis of results</w:t>
            </w:r>
          </w:p>
          <w:p w:rsidR="00E61394" w:rsidRPr="00FD457B" w:rsidRDefault="00E61394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Evaluation compared to Adult Tobacco Survey</w:t>
            </w:r>
          </w:p>
          <w:p w:rsidR="003C3F3D" w:rsidRPr="00FD457B" w:rsidRDefault="002F0666" w:rsidP="00E453DC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239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DC" w:rsidRPr="00FD457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453DC" w:rsidRPr="00FD457B">
              <w:rPr>
                <w:rFonts w:ascii="Times New Roman" w:eastAsia="Calibri" w:hAnsi="Times New Roman" w:cs="Times New Roman"/>
                <w:b w:val="0"/>
              </w:rPr>
              <w:t xml:space="preserve"> 6.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Partner with the ND Department of Human Services and 8 regional human services centers as priority organization. 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Assess current tobacco interventions practices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Implementation plan </w:t>
            </w:r>
            <w:r w:rsidR="00E61394" w:rsidRPr="00FD457B">
              <w:rPr>
                <w:rFonts w:ascii="Times New Roman" w:eastAsia="Calibri" w:hAnsi="Times New Roman" w:cs="Times New Roman"/>
                <w:b w:val="0"/>
              </w:rPr>
              <w:t xml:space="preserve">of 5As </w:t>
            </w:r>
            <w:r w:rsidRPr="00FD457B">
              <w:rPr>
                <w:rFonts w:ascii="Times New Roman" w:eastAsia="Calibri" w:hAnsi="Times New Roman" w:cs="Times New Roman"/>
                <w:b w:val="0"/>
              </w:rPr>
              <w:t>developed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Implementation</w:t>
            </w:r>
            <w:r w:rsidR="00E61394" w:rsidRPr="00FD457B">
              <w:rPr>
                <w:rFonts w:ascii="Times New Roman" w:eastAsia="Calibri" w:hAnsi="Times New Roman" w:cs="Times New Roman"/>
                <w:b w:val="0"/>
              </w:rPr>
              <w:t xml:space="preserve"> of 5As in treatment plans</w:t>
            </w:r>
            <w:r w:rsidRPr="00FD457B">
              <w:rPr>
                <w:rFonts w:ascii="Times New Roman" w:eastAsia="Calibri" w:hAnsi="Times New Roman" w:cs="Times New Roman"/>
                <w:b w:val="0"/>
              </w:rPr>
              <w:t xml:space="preserve"> completed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Evaluat</w:t>
            </w:r>
            <w:r w:rsidR="00E61394" w:rsidRPr="00FD457B">
              <w:rPr>
                <w:rFonts w:ascii="Times New Roman" w:eastAsia="Calibri" w:hAnsi="Times New Roman" w:cs="Times New Roman"/>
                <w:b w:val="0"/>
              </w:rPr>
              <w:t xml:space="preserve">ion of plan and adjustments </w:t>
            </w:r>
          </w:p>
          <w:p w:rsidR="003C3F3D" w:rsidRPr="00FD457B" w:rsidRDefault="002F0666" w:rsidP="00E453DC">
            <w:pPr>
              <w:spacing w:line="276" w:lineRule="auto"/>
              <w:ind w:left="1057" w:hanging="56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144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DC" w:rsidRPr="00FD457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453DC" w:rsidRPr="00FD457B">
              <w:rPr>
                <w:rFonts w:ascii="Times New Roman" w:eastAsia="Calibri" w:hAnsi="Times New Roman" w:cs="Times New Roman"/>
                <w:b w:val="0"/>
              </w:rPr>
              <w:t xml:space="preserve"> 7.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>Advo</w:t>
            </w:r>
            <w:r w:rsidR="00920E7B" w:rsidRPr="00FD457B">
              <w:rPr>
                <w:rFonts w:ascii="Times New Roman" w:eastAsia="Calibri" w:hAnsi="Times New Roman" w:cs="Times New Roman"/>
                <w:b w:val="0"/>
              </w:rPr>
              <w:t>cate that all healthcare settings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 and local public health units have a systematic orientation process for implementation of </w:t>
            </w:r>
            <w:r w:rsidR="00855110" w:rsidRPr="00FD457B">
              <w:rPr>
                <w:rFonts w:ascii="Times New Roman" w:eastAsia="Calibri" w:hAnsi="Times New Roman" w:cs="Times New Roman"/>
                <w:b w:val="0"/>
              </w:rPr>
              <w:t xml:space="preserve">Public Health Service Guidelines for Treating Tobacco Use and Dependence </w:t>
            </w:r>
            <w:r w:rsidR="003C3F3D" w:rsidRPr="00FD457B">
              <w:rPr>
                <w:rFonts w:ascii="Times New Roman" w:eastAsia="Calibri" w:hAnsi="Times New Roman" w:cs="Times New Roman"/>
                <w:b w:val="0"/>
              </w:rPr>
              <w:t xml:space="preserve">for all employees with direct client care responsibilities.  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Contact appropriate health care administrators</w:t>
            </w:r>
          </w:p>
          <w:p w:rsidR="003C3F3D" w:rsidRPr="00FD457B" w:rsidRDefault="003C3F3D" w:rsidP="00E453DC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</w:rPr>
            </w:pPr>
            <w:r w:rsidRPr="00FD457B">
              <w:rPr>
                <w:rFonts w:ascii="Times New Roman" w:eastAsia="Calibri" w:hAnsi="Times New Roman" w:cs="Times New Roman"/>
                <w:b w:val="0"/>
              </w:rPr>
              <w:t>Local public health complete as grant requirements</w:t>
            </w:r>
          </w:p>
        </w:tc>
      </w:tr>
    </w:tbl>
    <w:p w:rsidR="003C3F3D" w:rsidRPr="00FD457B" w:rsidRDefault="00140E6E" w:rsidP="00140E6E">
      <w:pPr>
        <w:tabs>
          <w:tab w:val="left" w:pos="2610"/>
        </w:tabs>
      </w:pPr>
      <w:r w:rsidRPr="00FD457B">
        <w:lastRenderedPageBreak/>
        <w:tab/>
      </w:r>
    </w:p>
    <w:sectPr w:rsidR="003C3F3D" w:rsidRPr="00FD457B" w:rsidSect="00E453DC"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72" w:rsidRDefault="00441F72" w:rsidP="00E453DC">
      <w:pPr>
        <w:spacing w:after="0" w:line="240" w:lineRule="auto"/>
      </w:pPr>
      <w:r>
        <w:separator/>
      </w:r>
    </w:p>
  </w:endnote>
  <w:endnote w:type="continuationSeparator" w:id="0">
    <w:p w:rsidR="00441F72" w:rsidRDefault="00441F72" w:rsidP="00E4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38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3DC" w:rsidRDefault="00E45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53DC" w:rsidRDefault="00E45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72" w:rsidRDefault="00441F72" w:rsidP="00E453DC">
      <w:pPr>
        <w:spacing w:after="0" w:line="240" w:lineRule="auto"/>
      </w:pPr>
      <w:r>
        <w:separator/>
      </w:r>
    </w:p>
  </w:footnote>
  <w:footnote w:type="continuationSeparator" w:id="0">
    <w:p w:rsidR="00441F72" w:rsidRDefault="00441F72" w:rsidP="00E4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63FD"/>
    <w:multiLevelType w:val="hybridMultilevel"/>
    <w:tmpl w:val="7482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560"/>
    <w:multiLevelType w:val="hybridMultilevel"/>
    <w:tmpl w:val="51D8405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C749F"/>
    <w:multiLevelType w:val="hybridMultilevel"/>
    <w:tmpl w:val="564C2158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614F15"/>
    <w:multiLevelType w:val="hybridMultilevel"/>
    <w:tmpl w:val="A1E8B4E8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873162F"/>
    <w:multiLevelType w:val="hybridMultilevel"/>
    <w:tmpl w:val="E626E5AA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DD7B51"/>
    <w:multiLevelType w:val="hybridMultilevel"/>
    <w:tmpl w:val="74846210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620A19"/>
    <w:multiLevelType w:val="hybridMultilevel"/>
    <w:tmpl w:val="30303062"/>
    <w:lvl w:ilvl="0" w:tplc="58B0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71EB6"/>
    <w:multiLevelType w:val="hybridMultilevel"/>
    <w:tmpl w:val="18BA0BB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9E0D12"/>
    <w:multiLevelType w:val="hybridMultilevel"/>
    <w:tmpl w:val="FC586B80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BC5B9B"/>
    <w:multiLevelType w:val="hybridMultilevel"/>
    <w:tmpl w:val="2838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DeDAPm5V4CQLrvCJa2dGJOsoiy1OEMRCbYLLepKhVCm2nix9lsM/PV46UykHnQqsI2ZUsr3qMXO8S8wuGcelw==" w:salt="UoOthgz50x1NujqQf0JZ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7"/>
    <w:rsid w:val="00054105"/>
    <w:rsid w:val="00055AFD"/>
    <w:rsid w:val="000E1232"/>
    <w:rsid w:val="000E541F"/>
    <w:rsid w:val="00140E6E"/>
    <w:rsid w:val="001C5B93"/>
    <w:rsid w:val="0021012D"/>
    <w:rsid w:val="00215DDE"/>
    <w:rsid w:val="002675D7"/>
    <w:rsid w:val="002A705C"/>
    <w:rsid w:val="002F0666"/>
    <w:rsid w:val="00350BBE"/>
    <w:rsid w:val="00372F90"/>
    <w:rsid w:val="003B237E"/>
    <w:rsid w:val="003C3F3D"/>
    <w:rsid w:val="003E5748"/>
    <w:rsid w:val="00441F72"/>
    <w:rsid w:val="004A018E"/>
    <w:rsid w:val="004E0557"/>
    <w:rsid w:val="00542FA5"/>
    <w:rsid w:val="005B4A44"/>
    <w:rsid w:val="006124EC"/>
    <w:rsid w:val="006E4961"/>
    <w:rsid w:val="007027FB"/>
    <w:rsid w:val="00754255"/>
    <w:rsid w:val="00754F83"/>
    <w:rsid w:val="00783B9F"/>
    <w:rsid w:val="007B1859"/>
    <w:rsid w:val="007E4E57"/>
    <w:rsid w:val="00810238"/>
    <w:rsid w:val="00830E6A"/>
    <w:rsid w:val="00855110"/>
    <w:rsid w:val="008C5E33"/>
    <w:rsid w:val="008D7432"/>
    <w:rsid w:val="00920E7B"/>
    <w:rsid w:val="00A054A9"/>
    <w:rsid w:val="00A21444"/>
    <w:rsid w:val="00A64656"/>
    <w:rsid w:val="00AB48A6"/>
    <w:rsid w:val="00AC17EF"/>
    <w:rsid w:val="00AE1400"/>
    <w:rsid w:val="00B70665"/>
    <w:rsid w:val="00B71141"/>
    <w:rsid w:val="00C651D9"/>
    <w:rsid w:val="00C722B3"/>
    <w:rsid w:val="00C87DF3"/>
    <w:rsid w:val="00CD33E1"/>
    <w:rsid w:val="00D060F1"/>
    <w:rsid w:val="00D22EA1"/>
    <w:rsid w:val="00D70612"/>
    <w:rsid w:val="00DA7677"/>
    <w:rsid w:val="00DE4806"/>
    <w:rsid w:val="00E15C82"/>
    <w:rsid w:val="00E453DC"/>
    <w:rsid w:val="00E61394"/>
    <w:rsid w:val="00E71AA7"/>
    <w:rsid w:val="00E81F76"/>
    <w:rsid w:val="00EA256D"/>
    <w:rsid w:val="00FB523F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9728E-C25C-4E49-A287-BB8BC4D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D7"/>
    <w:rPr>
      <w:rFonts w:ascii="Tahoma" w:hAnsi="Tahoma" w:cs="Tahoma"/>
      <w:sz w:val="16"/>
      <w:szCs w:val="16"/>
    </w:rPr>
  </w:style>
  <w:style w:type="table" w:customStyle="1" w:styleId="ListTable4-Accent21">
    <w:name w:val="List Table 4 - Accent 21"/>
    <w:basedOn w:val="TableNormal"/>
    <w:next w:val="ListTable4-Accent2"/>
    <w:uiPriority w:val="49"/>
    <w:rsid w:val="003C3F3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3C3F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4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DC"/>
  </w:style>
  <w:style w:type="paragraph" w:styleId="Footer">
    <w:name w:val="footer"/>
    <w:basedOn w:val="Normal"/>
    <w:link w:val="FooterChar"/>
    <w:uiPriority w:val="99"/>
    <w:unhideWhenUsed/>
    <w:rsid w:val="00E4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Andrist, Barbara J.</dc:creator>
  <cp:lastModifiedBy>Andrist, Barbara J.</cp:lastModifiedBy>
  <cp:revision>4</cp:revision>
  <cp:lastPrinted>2016-04-28T16:40:00Z</cp:lastPrinted>
  <dcterms:created xsi:type="dcterms:W3CDTF">2016-04-28T16:40:00Z</dcterms:created>
  <dcterms:modified xsi:type="dcterms:W3CDTF">2016-04-29T16:39:00Z</dcterms:modified>
</cp:coreProperties>
</file>